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1C12" w14:textId="644C5DE4" w:rsidR="00F258D3" w:rsidRPr="00F258D3" w:rsidRDefault="00F258D3" w:rsidP="00F258D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847"/>
      </w:tblGrid>
      <w:tr w:rsidR="00F258D3" w:rsidRPr="00F258D3" w14:paraId="47289E9F" w14:textId="77777777" w:rsidTr="003F290A">
        <w:tc>
          <w:tcPr>
            <w:tcW w:w="9345" w:type="dxa"/>
            <w:gridSpan w:val="2"/>
            <w:shd w:val="clear" w:color="auto" w:fill="auto"/>
          </w:tcPr>
          <w:p w14:paraId="54FE9F0D" w14:textId="77777777" w:rsidR="00F258D3" w:rsidRPr="00F258D3" w:rsidRDefault="00F258D3" w:rsidP="00F2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58D3" w:rsidRPr="00F258D3" w14:paraId="0A634A10" w14:textId="77777777" w:rsidTr="003F290A">
        <w:trPr>
          <w:trHeight w:val="3191"/>
        </w:trPr>
        <w:tc>
          <w:tcPr>
            <w:tcW w:w="0" w:type="auto"/>
            <w:shd w:val="clear" w:color="auto" w:fill="auto"/>
            <w:hideMark/>
          </w:tcPr>
          <w:p w14:paraId="7C5A1EFD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2863B8F6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14BB8252" w14:textId="7AB4276B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78834C2B" w14:textId="768E0B9F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AC1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hideMark/>
          </w:tcPr>
          <w:p w14:paraId="600DF94B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13218CD6" w14:textId="7777777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0924B860" w14:textId="6C59205D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 В.А. Егоров</w:t>
            </w:r>
          </w:p>
          <w:p w14:paraId="60C1EB0D" w14:textId="1581D6F7" w:rsidR="00F258D3" w:rsidRPr="00F258D3" w:rsidRDefault="00F258D3" w:rsidP="00F25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AC1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25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1E1CF05A" w14:textId="77777777" w:rsidR="00F258D3" w:rsidRPr="00F258D3" w:rsidRDefault="00F258D3" w:rsidP="00F258D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3D6A6F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6A2917F0" w14:textId="166A4FC0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E209A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-го </w:t>
      </w:r>
      <w:r w:rsidR="00AC1DA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полуфинала</w:t>
      </w: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1DA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чемпионата</w:t>
      </w: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г.о</w:t>
      </w:r>
      <w:proofErr w:type="spellEnd"/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Сызрань по шахматам, посвященного </w:t>
      </w:r>
      <w:r w:rsidR="00E209A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Владимиру Ветчинкину</w:t>
      </w:r>
    </w:p>
    <w:p w14:paraId="4588367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159D683E" w14:textId="089C1C70" w:rsidR="00F258D3" w:rsidRPr="00F258D3" w:rsidRDefault="00E209AD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</w:t>
      </w:r>
      <w:r w:rsidR="00AC1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полуфинал</w:t>
      </w:r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чемпионата </w:t>
      </w:r>
      <w:proofErr w:type="spellStart"/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F258D3" w:rsidRPr="00F2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Сызрань по шахматам,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Владимиру Ветчинкину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AC1DA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F258D3"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52B4C82C" w14:textId="293A10CD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</w:t>
      </w:r>
      <w:r w:rsidR="00E80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Правила)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C701BEB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3EC01B3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выполнение разрядных норм;</w:t>
      </w:r>
    </w:p>
    <w:p w14:paraId="400A2FA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Сызрань;</w:t>
      </w:r>
    </w:p>
    <w:p w14:paraId="61D21A37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54448AF1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64932D05" w14:textId="68A33874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01353BBA" w14:textId="72410CAF" w:rsidR="001442F8" w:rsidRPr="001442F8" w:rsidRDefault="00C4363D" w:rsidP="001442F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Pr="00436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28BEAFBF" w14:textId="115AAA73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ОБЕСПЕЧЕНИЕ БЕЗОПАСНОСТИ УЧАСТНИКОВ И ЗРИТЕЛЕЙ</w:t>
      </w:r>
    </w:p>
    <w:p w14:paraId="2D4F836A" w14:textId="77777777" w:rsidR="00A62100" w:rsidRDefault="00A62100" w:rsidP="00A621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5E7155F8" w14:textId="77777777" w:rsidR="00A62100" w:rsidRPr="005C6478" w:rsidRDefault="00A62100" w:rsidP="00A6210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3CFBF5FB" w14:textId="77777777" w:rsidR="00A62100" w:rsidRPr="005C6478" w:rsidRDefault="00A62100" w:rsidP="00A62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00FAB71D" w14:textId="2918691D" w:rsidR="00A62100" w:rsidRDefault="00A62100" w:rsidP="00A621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16C9F6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5E4EBBC1" w14:textId="3AD11221" w:rsidR="00F258D3" w:rsidRDefault="00F258D3" w:rsidP="00F258D3">
      <w:pPr>
        <w:jc w:val="both"/>
        <w:rPr>
          <w:rFonts w:ascii="Times New Roman" w:hAnsi="Times New Roman" w:cs="Times New Roman"/>
          <w:sz w:val="28"/>
          <w:szCs w:val="28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Соревнования проводятся с</w:t>
      </w:r>
      <w:r w:rsidR="00A621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0739A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0739A2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39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 w:rsidR="00684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A621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  <w:r w:rsidR="001442F8" w:rsidRPr="00CB4717">
        <w:rPr>
          <w:rFonts w:ascii="Times New Roman" w:hAnsi="Times New Roman" w:cs="Times New Roman"/>
          <w:sz w:val="28"/>
          <w:szCs w:val="28"/>
        </w:rPr>
        <w:t xml:space="preserve">в </w:t>
      </w:r>
      <w:r w:rsidR="001442F8">
        <w:rPr>
          <w:rFonts w:ascii="Times New Roman" w:hAnsi="Times New Roman" w:cs="Times New Roman"/>
          <w:sz w:val="28"/>
          <w:szCs w:val="28"/>
        </w:rPr>
        <w:t>ш</w:t>
      </w:r>
      <w:r w:rsidR="001442F8" w:rsidRPr="00CB4717">
        <w:rPr>
          <w:rFonts w:ascii="Times New Roman" w:hAnsi="Times New Roman" w:cs="Times New Roman"/>
          <w:sz w:val="28"/>
          <w:szCs w:val="28"/>
        </w:rPr>
        <w:t>ахматном центре «</w:t>
      </w:r>
      <w:r w:rsidR="001442F8" w:rsidRPr="00CB4717">
        <w:rPr>
          <w:rFonts w:ascii="Times New Roman" w:hAnsi="Times New Roman" w:cs="Times New Roman"/>
          <w:sz w:val="28"/>
          <w:szCs w:val="28"/>
          <w:lang w:val="en-US"/>
        </w:rPr>
        <w:t>GRANDMASTER</w:t>
      </w:r>
      <w:r w:rsidR="001442F8" w:rsidRPr="00CB4717">
        <w:rPr>
          <w:rFonts w:ascii="Times New Roman" w:hAnsi="Times New Roman" w:cs="Times New Roman"/>
          <w:sz w:val="28"/>
          <w:szCs w:val="28"/>
        </w:rPr>
        <w:t xml:space="preserve">» по адресу: г. Сызрань, ул. </w:t>
      </w:r>
      <w:proofErr w:type="spellStart"/>
      <w:r w:rsidR="001442F8" w:rsidRPr="00CB4717">
        <w:rPr>
          <w:rFonts w:ascii="Times New Roman" w:hAnsi="Times New Roman" w:cs="Times New Roman"/>
          <w:sz w:val="28"/>
          <w:szCs w:val="28"/>
        </w:rPr>
        <w:t>Образцовская</w:t>
      </w:r>
      <w:proofErr w:type="spellEnd"/>
      <w:r w:rsidR="001442F8" w:rsidRPr="00CB4717">
        <w:rPr>
          <w:rFonts w:ascii="Times New Roman" w:hAnsi="Times New Roman" w:cs="Times New Roman"/>
          <w:sz w:val="28"/>
          <w:szCs w:val="28"/>
        </w:rPr>
        <w:t>, д. 97</w:t>
      </w:r>
      <w:r w:rsidR="001442F8">
        <w:rPr>
          <w:rFonts w:ascii="Times New Roman" w:hAnsi="Times New Roman" w:cs="Times New Roman"/>
          <w:sz w:val="28"/>
          <w:szCs w:val="28"/>
        </w:rPr>
        <w:t>.</w:t>
      </w:r>
    </w:p>
    <w:p w14:paraId="14BDF778" w14:textId="04AA589C" w:rsidR="008743C8" w:rsidRPr="00320D53" w:rsidRDefault="001442F8" w:rsidP="001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D31CAB">
        <w:rPr>
          <w:rFonts w:ascii="Times New Roman" w:hAnsi="Times New Roman" w:cs="Times New Roman"/>
          <w:sz w:val="28"/>
          <w:szCs w:val="28"/>
        </w:rPr>
        <w:t>Регистрация участников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9A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9A2">
        <w:rPr>
          <w:rFonts w:ascii="Times New Roman" w:hAnsi="Times New Roman" w:cs="Times New Roman"/>
          <w:sz w:val="28"/>
          <w:szCs w:val="28"/>
        </w:rPr>
        <w:t>октября</w:t>
      </w:r>
      <w:r w:rsidR="00A62100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62100">
        <w:rPr>
          <w:rFonts w:ascii="Times New Roman" w:hAnsi="Times New Roman" w:cs="Times New Roman"/>
          <w:sz w:val="28"/>
          <w:szCs w:val="28"/>
        </w:rPr>
        <w:t>.0</w:t>
      </w:r>
      <w:r w:rsidRPr="00D31CAB">
        <w:rPr>
          <w:rFonts w:ascii="Times New Roman" w:hAnsi="Times New Roman" w:cs="Times New Roman"/>
          <w:sz w:val="28"/>
          <w:szCs w:val="28"/>
        </w:rPr>
        <w:t>0 до 1</w:t>
      </w:r>
      <w:r w:rsidR="001C5FF3">
        <w:rPr>
          <w:rFonts w:ascii="Times New Roman" w:hAnsi="Times New Roman" w:cs="Times New Roman"/>
          <w:sz w:val="28"/>
          <w:szCs w:val="28"/>
        </w:rPr>
        <w:t>7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1C5FF3">
        <w:rPr>
          <w:rFonts w:ascii="Times New Roman" w:hAnsi="Times New Roman" w:cs="Times New Roman"/>
          <w:sz w:val="28"/>
          <w:szCs w:val="28"/>
        </w:rPr>
        <w:t>50</w:t>
      </w:r>
      <w:r w:rsidRPr="00D31CAB">
        <w:rPr>
          <w:rFonts w:ascii="Times New Roman" w:hAnsi="Times New Roman" w:cs="Times New Roman"/>
          <w:sz w:val="28"/>
          <w:szCs w:val="28"/>
        </w:rPr>
        <w:t xml:space="preserve"> часов. Открытие </w:t>
      </w:r>
      <w:r>
        <w:rPr>
          <w:rFonts w:ascii="Times New Roman" w:hAnsi="Times New Roman" w:cs="Times New Roman"/>
          <w:sz w:val="28"/>
          <w:szCs w:val="28"/>
        </w:rPr>
        <w:t>турнира в 1</w:t>
      </w:r>
      <w:r w:rsidR="001C5F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F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 часов.</w:t>
      </w:r>
      <w:r w:rsidRPr="00D31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1</w:t>
      </w:r>
      <w:r w:rsidRPr="00D31CAB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1C5FF3"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>0 часов.</w:t>
      </w:r>
    </w:p>
    <w:p w14:paraId="02D4FF11" w14:textId="05A774F0" w:rsidR="006B09F1" w:rsidRDefault="006B09F1" w:rsidP="006B09F1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B09F1" w14:paraId="418842F6" w14:textId="77777777" w:rsidTr="00234B19">
        <w:tc>
          <w:tcPr>
            <w:tcW w:w="1869" w:type="dxa"/>
          </w:tcPr>
          <w:p w14:paraId="4049DF48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6D079829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576546EB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635E801C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3B658ABD" w14:textId="77777777" w:rsidR="006B09F1" w:rsidRDefault="006B09F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7653A1" w14:paraId="0FEF1AF6" w14:textId="77777777" w:rsidTr="00234B19">
        <w:trPr>
          <w:trHeight w:val="1335"/>
        </w:trPr>
        <w:tc>
          <w:tcPr>
            <w:tcW w:w="1869" w:type="dxa"/>
          </w:tcPr>
          <w:p w14:paraId="237DAA17" w14:textId="5373C41D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653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869" w:type="dxa"/>
          </w:tcPr>
          <w:p w14:paraId="26F2FC37" w14:textId="2F4E2209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тур</w:t>
            </w:r>
          </w:p>
        </w:tc>
        <w:tc>
          <w:tcPr>
            <w:tcW w:w="1869" w:type="dxa"/>
            <w:vMerge w:val="restart"/>
          </w:tcPr>
          <w:p w14:paraId="52C284E0" w14:textId="3C7433D0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  <w:vMerge w:val="restart"/>
          </w:tcPr>
          <w:p w14:paraId="0B705660" w14:textId="2CA1862A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шахматы</w:t>
            </w:r>
          </w:p>
        </w:tc>
        <w:tc>
          <w:tcPr>
            <w:tcW w:w="1869" w:type="dxa"/>
            <w:vMerge w:val="restart"/>
          </w:tcPr>
          <w:p w14:paraId="6FAE61E9" w14:textId="7310AE6C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0880012511Я</w:t>
            </w:r>
          </w:p>
        </w:tc>
      </w:tr>
      <w:tr w:rsidR="007653A1" w14:paraId="40C064C7" w14:textId="77777777" w:rsidTr="007653A1">
        <w:trPr>
          <w:trHeight w:val="675"/>
        </w:trPr>
        <w:tc>
          <w:tcPr>
            <w:tcW w:w="1869" w:type="dxa"/>
          </w:tcPr>
          <w:p w14:paraId="62EA17D2" w14:textId="54DAA258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  <w:r w:rsidR="007653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869" w:type="dxa"/>
          </w:tcPr>
          <w:p w14:paraId="49A0C5EE" w14:textId="4D7C8E56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тур</w:t>
            </w:r>
          </w:p>
        </w:tc>
        <w:tc>
          <w:tcPr>
            <w:tcW w:w="1869" w:type="dxa"/>
            <w:vMerge/>
          </w:tcPr>
          <w:p w14:paraId="37D611DB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77C29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F71185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5C90B0B6" w14:textId="77777777" w:rsidTr="007653A1">
        <w:trPr>
          <w:trHeight w:val="240"/>
        </w:trPr>
        <w:tc>
          <w:tcPr>
            <w:tcW w:w="1869" w:type="dxa"/>
          </w:tcPr>
          <w:p w14:paraId="7743D99E" w14:textId="27A4FDF9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w="1869" w:type="dxa"/>
          </w:tcPr>
          <w:p w14:paraId="01006BD4" w14:textId="0F5DE8AD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тур</w:t>
            </w:r>
          </w:p>
        </w:tc>
        <w:tc>
          <w:tcPr>
            <w:tcW w:w="1869" w:type="dxa"/>
            <w:vMerge/>
          </w:tcPr>
          <w:p w14:paraId="08354703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7EF1EAE5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1CD505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114E5D66" w14:textId="77777777" w:rsidTr="007653A1">
        <w:trPr>
          <w:trHeight w:val="142"/>
        </w:trPr>
        <w:tc>
          <w:tcPr>
            <w:tcW w:w="1869" w:type="dxa"/>
          </w:tcPr>
          <w:p w14:paraId="13280603" w14:textId="1DD988EF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1869" w:type="dxa"/>
          </w:tcPr>
          <w:p w14:paraId="017B6C2C" w14:textId="229EE4F5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тур</w:t>
            </w:r>
          </w:p>
        </w:tc>
        <w:tc>
          <w:tcPr>
            <w:tcW w:w="1869" w:type="dxa"/>
            <w:vMerge/>
          </w:tcPr>
          <w:p w14:paraId="76F1879B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EC4B4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610E5D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28B9D1AD" w14:textId="77777777" w:rsidTr="007653A1">
        <w:trPr>
          <w:trHeight w:val="165"/>
        </w:trPr>
        <w:tc>
          <w:tcPr>
            <w:tcW w:w="1869" w:type="dxa"/>
          </w:tcPr>
          <w:p w14:paraId="704D91BD" w14:textId="5E349E0F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октября</w:t>
            </w:r>
          </w:p>
        </w:tc>
        <w:tc>
          <w:tcPr>
            <w:tcW w:w="1869" w:type="dxa"/>
          </w:tcPr>
          <w:p w14:paraId="6ADCF7FE" w14:textId="6EEEBFBE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тур</w:t>
            </w:r>
          </w:p>
        </w:tc>
        <w:tc>
          <w:tcPr>
            <w:tcW w:w="1869" w:type="dxa"/>
            <w:vMerge/>
          </w:tcPr>
          <w:p w14:paraId="3A22C0B0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6246EBB0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55CCB147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32114463" w14:textId="77777777" w:rsidTr="007653A1">
        <w:trPr>
          <w:trHeight w:val="142"/>
        </w:trPr>
        <w:tc>
          <w:tcPr>
            <w:tcW w:w="1869" w:type="dxa"/>
          </w:tcPr>
          <w:p w14:paraId="2DB050CA" w14:textId="309DA919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октября</w:t>
            </w:r>
          </w:p>
        </w:tc>
        <w:tc>
          <w:tcPr>
            <w:tcW w:w="1869" w:type="dxa"/>
          </w:tcPr>
          <w:p w14:paraId="601820D5" w14:textId="7C9B9FAE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тур</w:t>
            </w:r>
          </w:p>
        </w:tc>
        <w:tc>
          <w:tcPr>
            <w:tcW w:w="1869" w:type="dxa"/>
            <w:vMerge/>
          </w:tcPr>
          <w:p w14:paraId="18B08836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7664A9F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3A4988C8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53A1" w14:paraId="1E4CCF9A" w14:textId="77777777" w:rsidTr="00234B19">
        <w:trPr>
          <w:trHeight w:val="172"/>
        </w:trPr>
        <w:tc>
          <w:tcPr>
            <w:tcW w:w="1869" w:type="dxa"/>
          </w:tcPr>
          <w:p w14:paraId="54F0281A" w14:textId="45AF0CEB" w:rsidR="007653A1" w:rsidRDefault="0000701F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1869" w:type="dxa"/>
          </w:tcPr>
          <w:p w14:paraId="1C3F3ED2" w14:textId="2187A559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тур</w:t>
            </w:r>
          </w:p>
        </w:tc>
        <w:tc>
          <w:tcPr>
            <w:tcW w:w="1869" w:type="dxa"/>
            <w:vMerge/>
          </w:tcPr>
          <w:p w14:paraId="4159BBCE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A86AC8C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B96411E" w14:textId="77777777" w:rsidR="007653A1" w:rsidRDefault="007653A1" w:rsidP="00234B1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B43DD60" w14:textId="77777777" w:rsidR="006B09F1" w:rsidRPr="008743C8" w:rsidRDefault="006B09F1" w:rsidP="00874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6C562F" w14:textId="0FB617F1" w:rsidR="001C5FF3" w:rsidRDefault="008743C8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оревнования проводятся по швейцарской системе в 7 туров с использованием компьютерной программы 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Swiss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Manager</w:t>
      </w:r>
      <w:r w:rsidR="00F258D3"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C65F697" w14:textId="16D009A3" w:rsidR="001C5FF3" w:rsidRPr="00F258D3" w:rsidRDefault="001C5FF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решению главной судейской коллегии </w:t>
      </w:r>
      <w:r w:rsidR="00E80C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турнир может быть разбит на две лиги в соответствии с разрядом и рейтингом шахматистов.</w:t>
      </w:r>
    </w:p>
    <w:p w14:paraId="3DB03CC1" w14:textId="40C8A553" w:rsidR="00F258D3" w:rsidRDefault="00F258D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времени на обдумывание – 60 минут каждому участнику до конца партии.</w:t>
      </w:r>
    </w:p>
    <w:p w14:paraId="076DE091" w14:textId="632C22C2" w:rsidR="00222AD2" w:rsidRDefault="00222AD2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время соревнований действует статья 19.4 Правил. Если на часах игрока при его ходе остается меньше двух минут до падения флажка, он может попросить, чтобы для обоих игроков был введен </w:t>
      </w:r>
      <w:r w:rsidR="005E40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режим прибавления времени в виде дополнительных пяти секунд на ход. Это равносильно предложению ничьей. Если предложение отвергнуто, и арбитр соглашается с просьбой, тогда на часах должен быть установлен режим добавления времени; сопернику присуждаются две дополнительные минуты, и игра продолжается. </w:t>
      </w:r>
    </w:p>
    <w:p w14:paraId="477125D6" w14:textId="7828A26E" w:rsidR="00E80CE8" w:rsidRDefault="00E80CE8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30 Правил перед началом соревнований главный судья (главный арбитр) может по согласованию с организатором внести уточнения и дополнения в Положение о соревновании, если они не противоречат настоящим Правилам.</w:t>
      </w:r>
      <w:r w:rsidR="0022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Подобные уточнения и дополнения вносятся в Регламент соревнований. </w:t>
      </w:r>
    </w:p>
    <w:p w14:paraId="506A5EBC" w14:textId="7B044C6D" w:rsidR="008743C8" w:rsidRPr="008743C8" w:rsidRDefault="008743C8" w:rsidP="00874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Первые 5 мест получают право участвовать в чемпионате </w:t>
      </w:r>
      <w:proofErr w:type="spellStart"/>
      <w:r w:rsidRPr="008743C8">
        <w:rPr>
          <w:rFonts w:ascii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8743C8">
        <w:rPr>
          <w:rFonts w:ascii="Times New Roman" w:hAnsi="Times New Roman" w:cs="Times New Roman"/>
          <w:sz w:val="28"/>
          <w:szCs w:val="28"/>
          <w:lang w:eastAsia="ru-RU"/>
        </w:rPr>
        <w:t>. Сызрань по шахматам.</w:t>
      </w:r>
      <w:r w:rsidR="00E80CE8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выходящих мест может быть увеличено в зависимости от количества участников соревнований и среднего рейтинга турнира.</w:t>
      </w:r>
    </w:p>
    <w:p w14:paraId="06B96F72" w14:textId="77777777" w:rsidR="005E40D2" w:rsidRDefault="005E40D2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7AF87E" w14:textId="7238C3B8" w:rsid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7C767A16" w14:textId="572555EB" w:rsidR="00E333C4" w:rsidRDefault="00E333C4" w:rsidP="00F258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турнире допускаются шахматисты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старше 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5E40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 г. р., </w:t>
      </w:r>
      <w:r w:rsidR="005E40D2">
        <w:rPr>
          <w:rFonts w:ascii="Times New Roman" w:hAnsi="Times New Roman" w:cs="Times New Roman"/>
          <w:color w:val="000000"/>
          <w:sz w:val="28"/>
          <w:szCs w:val="28"/>
        </w:rPr>
        <w:t>без ограничений по рейтингу</w:t>
      </w:r>
      <w:r w:rsidRPr="00E333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697576" w14:textId="4695CC60" w:rsidR="005E40D2" w:rsidRPr="008743C8" w:rsidRDefault="005E40D2" w:rsidP="005E40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Заявочный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взнос:</w:t>
      </w:r>
    </w:p>
    <w:p w14:paraId="4CCC07D5" w14:textId="0D4E0927" w:rsidR="005E40D2" w:rsidRPr="008743C8" w:rsidRDefault="005E40D2" w:rsidP="005E40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3C8">
        <w:rPr>
          <w:rFonts w:ascii="Times New Roman" w:hAnsi="Times New Roman" w:cs="Times New Roman"/>
          <w:sz w:val="28"/>
          <w:szCs w:val="28"/>
          <w:lang w:eastAsia="ru-RU"/>
        </w:rPr>
        <w:t>- для шахматистов с рейтингом по шахматам ниже 1</w:t>
      </w:r>
      <w:r w:rsidR="0000701F">
        <w:rPr>
          <w:rFonts w:ascii="Times New Roman" w:hAnsi="Times New Roman" w:cs="Times New Roman"/>
          <w:sz w:val="28"/>
          <w:szCs w:val="28"/>
          <w:lang w:eastAsia="ru-RU"/>
        </w:rPr>
        <w:t>200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0701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>00 руб.</w:t>
      </w:r>
    </w:p>
    <w:p w14:paraId="4A5559A9" w14:textId="5E796832" w:rsidR="005E40D2" w:rsidRDefault="005E40D2" w:rsidP="005E40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3C8">
        <w:rPr>
          <w:rFonts w:ascii="Times New Roman" w:hAnsi="Times New Roman" w:cs="Times New Roman"/>
          <w:sz w:val="28"/>
          <w:szCs w:val="28"/>
          <w:lang w:eastAsia="ru-RU"/>
        </w:rPr>
        <w:t>- для шахматистов с рейтингом по шахматам 1</w:t>
      </w:r>
      <w:r w:rsidR="0000701F">
        <w:rPr>
          <w:rFonts w:ascii="Times New Roman" w:hAnsi="Times New Roman" w:cs="Times New Roman"/>
          <w:sz w:val="28"/>
          <w:szCs w:val="28"/>
          <w:lang w:eastAsia="ru-RU"/>
        </w:rPr>
        <w:t>200</w:t>
      </w:r>
      <w:r>
        <w:rPr>
          <w:rFonts w:ascii="Times New Roman" w:hAnsi="Times New Roman" w:cs="Times New Roman"/>
          <w:sz w:val="28"/>
          <w:szCs w:val="28"/>
          <w:lang w:eastAsia="ru-RU"/>
        </w:rPr>
        <w:t>-1400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– 500 руб.</w:t>
      </w:r>
    </w:p>
    <w:p w14:paraId="475D75B8" w14:textId="6210C4B1" w:rsidR="005E40D2" w:rsidRDefault="005E40D2" w:rsidP="005E40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для шахматистов с рейтингом по шахматам выше 1400, а также ветеранов </w:t>
      </w:r>
      <w:r w:rsidR="0000701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400 руб.</w:t>
      </w:r>
    </w:p>
    <w:p w14:paraId="5532A54B" w14:textId="64EA6223" w:rsidR="005E40D2" w:rsidRPr="00017F89" w:rsidRDefault="005E40D2" w:rsidP="00017F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для</w:t>
      </w:r>
      <w:r w:rsidR="008125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2502">
        <w:rPr>
          <w:rFonts w:ascii="Times New Roman" w:hAnsi="Times New Roman" w:cs="Times New Roman"/>
          <w:sz w:val="28"/>
          <w:szCs w:val="28"/>
          <w:lang w:eastAsia="ru-RU"/>
        </w:rPr>
        <w:t xml:space="preserve">шахматистов, получивших право участия в финале чемпионата </w:t>
      </w:r>
      <w:proofErr w:type="spellStart"/>
      <w:r w:rsidR="00812502">
        <w:rPr>
          <w:rFonts w:ascii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812502">
        <w:rPr>
          <w:rFonts w:ascii="Times New Roman" w:hAnsi="Times New Roman" w:cs="Times New Roman"/>
          <w:sz w:val="28"/>
          <w:szCs w:val="28"/>
          <w:lang w:eastAsia="ru-RU"/>
        </w:rPr>
        <w:t>. Сызрань по шахматам по итогам 1-го полуфинала, а также для женщин (шахматисток старше 2006 г.р.) – 300 руб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231983" w14:textId="05AEE46C" w:rsidR="00C4363D" w:rsidRPr="00E333C4" w:rsidRDefault="00C4363D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 w:rsidR="00017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игроков без рейтинга – полную дату рождения</w:t>
      </w:r>
      <w:r w:rsidR="00E333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Заявку можно подать 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Алексею В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ячеславовичу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00701F" w:rsidRPr="002F6C3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22.00 часов 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00701F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00701F" w:rsidRP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0701F">
        <w:t xml:space="preserve"> </w:t>
      </w:r>
      <w:hyperlink r:id="rId5" w:history="1">
        <w:r w:rsidR="0000701F" w:rsidRPr="00681347">
          <w:rPr>
            <w:rStyle w:val="a3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00701F"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00701F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007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39B771E" w14:textId="3DD3D23B" w:rsidR="00F258D3" w:rsidRDefault="00F258D3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не подавшие заявку, могут быть не допущены к соревнованиям. </w:t>
      </w:r>
    </w:p>
    <w:p w14:paraId="7371E7B9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3D39F3D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1890CAE4" w14:textId="77777777" w:rsidR="00C4363D" w:rsidRP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05C45DAE" w14:textId="4506F541" w:rsidR="00C4363D" w:rsidRDefault="00C4363D" w:rsidP="00C4363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от врача о допуске к соревнованиям.</w:t>
      </w:r>
    </w:p>
    <w:p w14:paraId="36FB93F5" w14:textId="1B333048" w:rsidR="00E333C4" w:rsidRPr="004C0EE7" w:rsidRDefault="004C0EE7" w:rsidP="004C0E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0234FA14" w14:textId="77777777" w:rsidR="00C4363D" w:rsidRPr="00F258D3" w:rsidRDefault="00C4363D" w:rsidP="00F258D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35A772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УСЛОВИЯ ПОДВЕДЕНИЯ ИТОГОВ</w:t>
      </w:r>
    </w:p>
    <w:p w14:paraId="5B658978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61579E41" w14:textId="242197E0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894A8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795EFF66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 по результату личной встречи, коэффициенту Бергера, числу выигранных партий.</w:t>
      </w:r>
    </w:p>
    <w:p w14:paraId="4C78D973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33AF21C" w14:textId="49D59BD4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Победители и призеры соревнований награждаются грамотами соответствующих степеней, а также иными призами, если они предусмотрены организаторами соревнований. </w:t>
      </w:r>
    </w:p>
    <w:p w14:paraId="1766F424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63B0C5FE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0FA894F7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51678C97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F258D3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0C8953ED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0B656120" w14:textId="77777777" w:rsidR="00F258D3" w:rsidRPr="00F258D3" w:rsidRDefault="00F258D3" w:rsidP="00F258D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58D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7275F905" w14:textId="77777777" w:rsidR="00C4363D" w:rsidRPr="00C4363D" w:rsidRDefault="00C4363D" w:rsidP="00C4363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из средств федерации и иных </w:t>
      </w:r>
      <w:r w:rsidRPr="00C43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32DF389E" w14:textId="77777777" w:rsidR="00C4363D" w:rsidRPr="00C4363D" w:rsidRDefault="00C4363D" w:rsidP="00C4363D">
      <w:pPr>
        <w:rPr>
          <w:rFonts w:ascii="Times New Roman" w:hAnsi="Times New Roman" w:cs="Times New Roman"/>
          <w:sz w:val="28"/>
          <w:szCs w:val="28"/>
        </w:rPr>
      </w:pPr>
      <w:r w:rsidRPr="00C436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организаций.</w:t>
      </w:r>
    </w:p>
    <w:p w14:paraId="368AF251" w14:textId="7A643C9B" w:rsidR="00585AF5" w:rsidRPr="00F258D3" w:rsidRDefault="00585AF5" w:rsidP="00F258D3">
      <w:pPr>
        <w:rPr>
          <w:rFonts w:ascii="Times New Roman" w:hAnsi="Times New Roman" w:cs="Times New Roman"/>
          <w:sz w:val="28"/>
          <w:szCs w:val="28"/>
        </w:rPr>
      </w:pPr>
    </w:p>
    <w:sectPr w:rsidR="00585AF5" w:rsidRPr="00F2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B0B6B"/>
    <w:multiLevelType w:val="multilevel"/>
    <w:tmpl w:val="53B4B9B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48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E"/>
    <w:rsid w:val="0000701F"/>
    <w:rsid w:val="00017F89"/>
    <w:rsid w:val="000739A2"/>
    <w:rsid w:val="000B55D8"/>
    <w:rsid w:val="00126B6A"/>
    <w:rsid w:val="00142801"/>
    <w:rsid w:val="001442F8"/>
    <w:rsid w:val="001C5FF3"/>
    <w:rsid w:val="00214580"/>
    <w:rsid w:val="00222AD2"/>
    <w:rsid w:val="002318B0"/>
    <w:rsid w:val="003C689F"/>
    <w:rsid w:val="004C0EE7"/>
    <w:rsid w:val="005623AE"/>
    <w:rsid w:val="00585AF5"/>
    <w:rsid w:val="005E40D2"/>
    <w:rsid w:val="0068489A"/>
    <w:rsid w:val="006B09F1"/>
    <w:rsid w:val="00732DA1"/>
    <w:rsid w:val="007653A1"/>
    <w:rsid w:val="007B013D"/>
    <w:rsid w:val="007E1BCE"/>
    <w:rsid w:val="00812502"/>
    <w:rsid w:val="008743C8"/>
    <w:rsid w:val="00894A88"/>
    <w:rsid w:val="00926FD9"/>
    <w:rsid w:val="00A073E7"/>
    <w:rsid w:val="00A14D71"/>
    <w:rsid w:val="00A62100"/>
    <w:rsid w:val="00AC1DAE"/>
    <w:rsid w:val="00BA1FFB"/>
    <w:rsid w:val="00C4363D"/>
    <w:rsid w:val="00C77C52"/>
    <w:rsid w:val="00CB6F31"/>
    <w:rsid w:val="00DC0074"/>
    <w:rsid w:val="00E209AD"/>
    <w:rsid w:val="00E333C4"/>
    <w:rsid w:val="00E80CE8"/>
    <w:rsid w:val="00F2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D2F3"/>
  <w15:chartTrackingRefBased/>
  <w15:docId w15:val="{D4AB13FF-487F-4F7D-A28D-9C445EE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6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363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C436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09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orgihini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2023-10-04T07:04:00Z</dcterms:created>
  <dcterms:modified xsi:type="dcterms:W3CDTF">2023-10-05T07:07:00Z</dcterms:modified>
</cp:coreProperties>
</file>